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bookmarkStart w:id="0" w:name="_GoBack"/>
      <w:bookmarkEnd w:id="0"/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6ED4">
              <w:rPr>
                <w:rFonts w:asciiTheme="majorHAnsi" w:hAnsiTheme="majorHAnsi" w:cs="Arial"/>
                <w:b/>
                <w:sz w:val="18"/>
                <w:szCs w:val="18"/>
              </w:rPr>
              <w:t>KATALITIČKI PROCESI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26ED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26ED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E2002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26ED4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1453C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1453C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6ED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26ED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26ED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526ED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526ED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526ED4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524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6ED4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2D07B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D07B7">
              <w:rPr>
                <w:rFonts w:asciiTheme="majorHAnsi" w:hAnsiTheme="majorHAnsi"/>
                <w:b/>
                <w:sz w:val="18"/>
                <w:szCs w:val="18"/>
              </w:rPr>
              <w:t>33,94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524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6ED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2D07B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D07B7">
              <w:rPr>
                <w:rFonts w:asciiTheme="majorHAnsi" w:hAnsiTheme="majorHAnsi"/>
                <w:b/>
                <w:sz w:val="18"/>
                <w:szCs w:val="18"/>
              </w:rPr>
              <w:t>9,50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55248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6ED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2D07B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D07B7">
              <w:rPr>
                <w:rFonts w:asciiTheme="majorHAnsi" w:hAnsiTheme="majorHAnsi" w:cs="Arial"/>
                <w:b/>
                <w:sz w:val="18"/>
                <w:szCs w:val="18"/>
              </w:rPr>
              <w:t>84,50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526ED4" w:rsidRPr="00526ED4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26ED4" w:rsidRPr="00526ED4">
              <w:rPr>
                <w:rFonts w:asciiTheme="majorHAnsi" w:hAnsiTheme="majorHAnsi" w:cs="Arial"/>
                <w:b/>
                <w:sz w:val="18"/>
                <w:szCs w:val="18"/>
              </w:rPr>
              <w:t>Odsjek HEMIJA- 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26ED4">
              <w:rPr>
                <w:rFonts w:asciiTheme="majorHAnsi" w:hAnsiTheme="majorHAnsi" w:cs="Arial"/>
                <w:b/>
                <w:sz w:val="18"/>
                <w:szCs w:val="18"/>
              </w:rPr>
              <w:t>Dr.sc. Amra Bratovčić, red. 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8C12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3AAD" w:rsidRPr="00D33AAD">
              <w:rPr>
                <w:rFonts w:asciiTheme="majorHAnsi" w:hAnsiTheme="majorHAnsi" w:cs="Arial"/>
                <w:b/>
                <w:sz w:val="18"/>
                <w:szCs w:val="18"/>
              </w:rPr>
              <w:t xml:space="preserve">Cilj predmeta je upoznati studente s osnovnim principima katalize, uključujući homogenu i heterogenu katalizu, te kinetiku i mehanizme katalitičkih reakcija. Studenti će steći znanja o sastavu, pripremi i karakteristikama katalizatora, kao i o njihovoj aktivnosti, selektivnosti i stabilnosti. Također, cilj je razviti razumijevanje prijenosa tvari i topline u </w:t>
            </w:r>
            <w:r w:rsidR="00D33AAD" w:rsidRPr="00D33AA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katalitičkim procesima, eksperimentalnih metoda istraživanja te mehanizama deaktivacije i mogućnosti reaktivacije katalizatora.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3AAD" w:rsidRPr="00D33AAD">
              <w:rPr>
                <w:rFonts w:asciiTheme="majorHAnsi" w:hAnsiTheme="majorHAnsi" w:cs="Arial"/>
                <w:b/>
                <w:sz w:val="18"/>
                <w:szCs w:val="18"/>
              </w:rPr>
              <w:t>Po završetku predmeta studenti će moći objasniti osnovne principe homogene i heterogene katalize te kinetiku i mehanizme katalitičkih reakcija. Studenti će biti sposobni analizirati svojstva katalizatora, uključujući aktivnost, selektivnost, stabilnost te fizikalne i mehaničke karakteristike. Također će moći primijeniti eksperimentalne metode za određivanje karakteristika katalizatora te procijeniti uticaj prijenosa tvari, topline i procesa deaktivacije na katalitičke procese.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26ED4" w:rsidRPr="00526ED4" w:rsidRDefault="00D05D23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6ED4" w:rsidRPr="00526ED4">
              <w:rPr>
                <w:rFonts w:asciiTheme="majorHAnsi" w:hAnsiTheme="majorHAnsi" w:cs="Arial"/>
                <w:b/>
                <w:sz w:val="18"/>
                <w:szCs w:val="18"/>
              </w:rPr>
              <w:t>1. Uvod. Podjela katalize: Homogena kiselinsko-bazna, kataliza s metalnim ionima.</w:t>
            </w:r>
          </w:p>
          <w:p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2. Kinetika i mehanizam homogeno-katalitičkih reakcija.</w:t>
            </w:r>
          </w:p>
          <w:p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3. Heterogena kataliza.Fizikalna adsorpcija i hemisorpcija.</w:t>
            </w:r>
          </w:p>
          <w:p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4. Sastav i priprema katalizatora.</w:t>
            </w:r>
          </w:p>
          <w:p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5. Aktivnost, selektivnost i stabilnost katalizatora.</w:t>
            </w:r>
          </w:p>
          <w:p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6. Fizičke karakteristike katalizatora. Mehaničke karakteristike katalizatora. Priprema heterogenih katalizato</w:t>
            </w:r>
          </w:p>
          <w:p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7. Eksperimentalne metode određivanja karakteristika.</w:t>
            </w:r>
          </w:p>
          <w:p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8. Kinetika i mehanizam heterogeno-katalitičkih reakcija: empirijski i mehanistički modeli.</w:t>
            </w:r>
          </w:p>
          <w:p w:rsidR="00526ED4" w:rsidRPr="00526ED4" w:rsidRDefault="008C120C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526ED4" w:rsidRPr="00526ED4">
              <w:rPr>
                <w:rFonts w:asciiTheme="majorHAnsi" w:hAnsiTheme="majorHAnsi" w:cs="Arial"/>
                <w:b/>
                <w:sz w:val="18"/>
                <w:szCs w:val="18"/>
              </w:rPr>
              <w:t>. Ukupna brzina heterogeno-katalitičkih reakcija. Prijenos tvari i topline u katalitičkim reaktorima.</w:t>
            </w:r>
          </w:p>
          <w:p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8C120C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. Karakteristika djelotvornosti: međufazna, unutarfazna. Eksperimentalne metode i kriteriji u kinetičkim</w:t>
            </w:r>
          </w:p>
          <w:p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istraživanjima.</w:t>
            </w:r>
          </w:p>
          <w:p w:rsidR="00526ED4" w:rsidRPr="00526ED4" w:rsidRDefault="00526ED4" w:rsidP="00526ED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8C120C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. Deaktivacija katalizatora. Kinetika i mehanizam deaktivacije. Difuzija i deaktivacija.</w:t>
            </w:r>
          </w:p>
          <w:p w:rsidR="00CB72ED" w:rsidRPr="00B96B4F" w:rsidRDefault="00526ED4" w:rsidP="008C120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8C120C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526ED4">
              <w:rPr>
                <w:rFonts w:asciiTheme="majorHAnsi" w:hAnsiTheme="majorHAnsi" w:cs="Arial"/>
                <w:b/>
                <w:sz w:val="18"/>
                <w:szCs w:val="18"/>
              </w:rPr>
              <w:t>. Selektivnost i deaktivacija. Sprečavanje deaktivacije i reaktivacija katalizatora.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33AAD" w:rsidRPr="00D33AAD" w:rsidRDefault="00D05D23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3AAD" w:rsidRPr="00D33AAD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vježbe</w:t>
            </w:r>
          </w:p>
          <w:p w:rsidR="00CB72ED" w:rsidRPr="00B96B4F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Seminarski rad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33AAD" w:rsidRPr="00D33AAD" w:rsidRDefault="00D05D23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3AAD" w:rsidRPr="00D33AAD">
              <w:rPr>
                <w:rFonts w:asciiTheme="majorHAnsi" w:hAnsiTheme="majorHAnsi" w:cs="Arial"/>
                <w:b/>
                <w:sz w:val="18"/>
                <w:szCs w:val="18"/>
              </w:rPr>
              <w:t>Student obavezno u toku trajanja predavanja pristupa polaganju I i II parcijalnog ispita iz teoretskog dijela.</w:t>
            </w:r>
          </w:p>
          <w:p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Završni dio ispita se polaže usmeno. Svaki student ima seminarski rad.</w:t>
            </w:r>
          </w:p>
          <w:p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Studentima koji su položili I i II parcijalni iz teoretskog dijela gradiva sa maksimalnim brojem bodova i izuzetno</w:t>
            </w:r>
          </w:p>
          <w:p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urađenim seminarskim radom, predmetni nastavnik upisuje ocjenu u indeks nakon završetka svih obaveza na</w:t>
            </w:r>
          </w:p>
          <w:p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predmetu (potpis predmetnog nastavnika u indeksu). Završnom ispitu pristupaju svi studenti koji imaju urađene sve</w:t>
            </w:r>
          </w:p>
          <w:p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obaveze na predmetu (imaju potpis predmetnog nastavnika u indeksu).</w:t>
            </w:r>
          </w:p>
          <w:p w:rsidR="00CB72ED" w:rsidRPr="00B96B4F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Rezultati će u roku od 2-8 dana biti javno objavljeni na oglasnoj ploči fakulteta.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33AAD" w:rsidRPr="00D33AAD" w:rsidRDefault="00D05D23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3AAD" w:rsidRPr="00D33AAD">
              <w:rPr>
                <w:rFonts w:asciiTheme="majorHAnsi" w:hAnsiTheme="majorHAnsi" w:cs="Arial"/>
                <w:b/>
                <w:sz w:val="18"/>
                <w:szCs w:val="18"/>
              </w:rPr>
              <w:t>Konačna ocjena zasnovana je na ukupnom broju bodova stečenih kroz predispitne obaveze i polaganje završnog ispita,</w:t>
            </w:r>
          </w:p>
          <w:p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a prema kvalitetu stečenih znanja i vještina. Sadrži maksimalno 100 bodova, prema slijedećoj skali:</w:t>
            </w:r>
          </w:p>
          <w:p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1. Prisutnost na predavanjima i vježbama: 5 bodova</w:t>
            </w:r>
          </w:p>
          <w:p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2. Seminarski rad: 20 bodova</w:t>
            </w:r>
          </w:p>
          <w:p w:rsidR="00D33AAD" w:rsidRPr="00D33AAD" w:rsidRDefault="00D33AAD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33AAD">
              <w:rPr>
                <w:rFonts w:asciiTheme="majorHAnsi" w:hAnsiTheme="majorHAnsi" w:cs="Arial"/>
                <w:b/>
                <w:sz w:val="18"/>
                <w:szCs w:val="18"/>
              </w:rPr>
              <w:t>3. I parcijalni test: 25 bodova (minimalan broj bodova za prolaz 13)</w:t>
            </w:r>
          </w:p>
          <w:p w:rsidR="00D33AAD" w:rsidRPr="00D33AAD" w:rsidRDefault="008C120C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D33AAD" w:rsidRPr="00D33AAD">
              <w:rPr>
                <w:rFonts w:asciiTheme="majorHAnsi" w:hAnsiTheme="majorHAnsi" w:cs="Arial"/>
                <w:b/>
                <w:sz w:val="18"/>
                <w:szCs w:val="18"/>
              </w:rPr>
              <w:t>. II parcijalni test: 25 bodova (minimalan broj bodova za prolaz 13)</w:t>
            </w:r>
          </w:p>
          <w:p w:rsidR="00CB72ED" w:rsidRPr="00B96B4F" w:rsidRDefault="008C120C" w:rsidP="00D33AA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D33AAD" w:rsidRPr="00D33AAD">
              <w:rPr>
                <w:rFonts w:asciiTheme="majorHAnsi" w:hAnsiTheme="majorHAnsi" w:cs="Arial"/>
                <w:b/>
                <w:sz w:val="18"/>
                <w:szCs w:val="18"/>
              </w:rPr>
              <w:t>. Završni ispit: 25 bodova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D12A9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D12A9">
              <w:rPr>
                <w:rFonts w:asciiTheme="majorHAnsi" w:hAnsiTheme="majorHAnsi" w:cs="Arial"/>
                <w:b/>
                <w:sz w:val="18"/>
                <w:szCs w:val="18"/>
              </w:rPr>
              <w:t>1.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D12A9" w:rsidRPr="00ED12A9">
              <w:rPr>
                <w:rFonts w:asciiTheme="majorHAnsi" w:hAnsiTheme="majorHAnsi" w:cs="Arial"/>
                <w:b/>
                <w:sz w:val="18"/>
                <w:szCs w:val="18"/>
              </w:rPr>
              <w:t>S. Zrnčević, KATALIZA I KATALIZATORI, HINUS, 2005.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</w:p>
          <w:p w:rsidR="00CB72ED" w:rsidRPr="00B96B4F" w:rsidRDefault="00ED12A9" w:rsidP="00ED12A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2. A. Bratovčić, Fotohemija i fotokataliza,  Tuzla, 2020.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1721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17210" w:rsidRPr="00917210">
              <w:rPr>
                <w:rFonts w:asciiTheme="majorHAnsi" w:hAnsiTheme="majorHAnsi" w:cs="Arial"/>
                <w:b/>
                <w:sz w:val="18"/>
                <w:szCs w:val="18"/>
              </w:rPr>
              <w:t xml:space="preserve">Rothenberg, G. (2008). Catalysis: Concepts and green applications. Wiley-VCH Verlag GmbH &amp; Co. KGaA.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1721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917210">
              <w:rPr>
                <w:rFonts w:asciiTheme="majorHAnsi" w:hAnsiTheme="majorHAnsi" w:cs="Arial"/>
                <w:b/>
                <w:sz w:val="18"/>
                <w:szCs w:val="18"/>
              </w:rPr>
              <w:t>2024/2025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FB64AD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FB64AD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FB64AD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3C6" w:rsidRDefault="001453C6">
      <w:pPr>
        <w:spacing w:line="240" w:lineRule="auto"/>
      </w:pPr>
      <w:r>
        <w:separator/>
      </w:r>
    </w:p>
  </w:endnote>
  <w:endnote w:type="continuationSeparator" w:id="0">
    <w:p w:rsidR="001453C6" w:rsidRDefault="00145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B5217">
            <w:rPr>
              <w:rFonts w:ascii="Cambria" w:hAnsi="Cambria" w:cs="Calibri"/>
              <w:noProof/>
              <w:sz w:val="16"/>
              <w:szCs w:val="16"/>
            </w:rPr>
            <w:t>16.3.2026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B5217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4B521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3C6" w:rsidRDefault="001453C6">
      <w:pPr>
        <w:spacing w:after="0"/>
      </w:pPr>
      <w:r>
        <w:separator/>
      </w:r>
    </w:p>
  </w:footnote>
  <w:footnote w:type="continuationSeparator" w:id="0">
    <w:p w:rsidR="001453C6" w:rsidRDefault="001453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453C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0B21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07B7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5217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6ED4"/>
    <w:rsid w:val="005276C6"/>
    <w:rsid w:val="00532436"/>
    <w:rsid w:val="00541C17"/>
    <w:rsid w:val="005443B1"/>
    <w:rsid w:val="00546F6E"/>
    <w:rsid w:val="0055248F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12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17210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A0A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20E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C7E30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3AAD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002D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D12A9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327ACA-0917-4FB1-B03F-832AF0DB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B5515-49D9-4519-8FB1-7D93D986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2024-03-19T08:24:00Z</cp:lastPrinted>
  <dcterms:created xsi:type="dcterms:W3CDTF">2026-03-16T09:54:00Z</dcterms:created>
  <dcterms:modified xsi:type="dcterms:W3CDTF">2026-03-16T09:54:00Z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